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0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207645</wp:posOffset>
            </wp:positionH>
            <wp:positionV relativeFrom="page">
              <wp:posOffset>224155</wp:posOffset>
            </wp:positionV>
            <wp:extent cx="7134225"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4225" cy="25400"/>
                    </a:xfrm>
                    <a:prstGeom prst="rect">
                      <a:avLst/>
                    </a:prstGeom>
                    <a:noFill/>
                  </pic:spPr>
                </pic:pic>
              </a:graphicData>
            </a:graphic>
          </wp:anchor>
        </w:drawing>
        <w:drawing>
          <wp:anchor simplePos="0" relativeHeight="251657728" behindDoc="1" locked="0" layoutInCell="0" allowOverlap="1">
            <wp:simplePos x="0" y="0"/>
            <wp:positionH relativeFrom="page">
              <wp:posOffset>207645</wp:posOffset>
            </wp:positionH>
            <wp:positionV relativeFrom="page">
              <wp:posOffset>258445</wp:posOffset>
            </wp:positionV>
            <wp:extent cx="713422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4225" cy="8255"/>
                    </a:xfrm>
                    <a:prstGeom prst="rect">
                      <a:avLst/>
                    </a:prstGeom>
                    <a:noFill/>
                  </pic:spPr>
                </pic:pic>
              </a:graphicData>
            </a:graphic>
          </wp:anchor>
        </w:drawing>
        <w:t>UNITED STATES</w:t>
      </w:r>
    </w:p>
    <w:p>
      <w:pPr>
        <w:spacing w:after="0" w:line="34"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SECURITIES AND EXCHANGE COMMISSION</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Washington, D.C. 20549</w:t>
      </w:r>
    </w:p>
    <w:p>
      <w:pPr>
        <w:spacing w:after="0" w:line="192"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FORM 6-K</w:t>
      </w:r>
    </w:p>
    <w:p>
      <w:pPr>
        <w:spacing w:after="0" w:line="228"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REPORT OF FOREIGN PRIVATE ISSUER</w:t>
      </w:r>
    </w:p>
    <w:p>
      <w:pPr>
        <w:spacing w:after="0" w:line="19"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PURSUANT TO RULE 13a-16 OR 15d-16 UNDER THE</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SECURITIES EXCHANGE ACT OF 1934</w:t>
      </w:r>
    </w:p>
    <w:p>
      <w:pPr>
        <w:spacing w:after="0" w:line="207"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Short Form of Press Release</w:t>
      </w:r>
    </w:p>
    <w:p>
      <w:pPr>
        <w:spacing w:after="0" w:line="220"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Commission File Number 1-11414</w:t>
      </w:r>
    </w:p>
    <w:p>
      <w:pPr>
        <w:spacing w:after="0" w:line="211"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1"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(Exact name of Registrant as specified in its Charter)</w:t>
      </w:r>
    </w:p>
    <w:p>
      <w:pPr>
        <w:spacing w:after="0" w:line="195"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1"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(Translation of Registrant’s name into English)</w:t>
      </w:r>
    </w:p>
    <w:p>
      <w:pPr>
        <w:spacing w:after="0" w:line="204"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Business Park Torre V, Ave. La Rotonda, Costa del Este</w:t>
      </w:r>
    </w:p>
    <w:p>
      <w:pPr>
        <w:spacing w:after="0" w:line="19"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P.O. Box 0819-08730</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Panama City, Republic of Panama</w:t>
      </w:r>
    </w:p>
    <w:p>
      <w:pPr>
        <w:spacing w:after="0" w:line="6" w:lineRule="exact"/>
        <w:rPr>
          <w:sz w:val="24"/>
          <w:szCs w:val="24"/>
          <w:color w:val="auto"/>
        </w:rPr>
      </w:pPr>
    </w:p>
    <w:p>
      <w:pPr>
        <w:jc w:val="center"/>
        <w:ind w:right="-1100"/>
        <w:spacing w:after="0"/>
        <w:rPr>
          <w:sz w:val="20"/>
          <w:szCs w:val="20"/>
          <w:color w:val="auto"/>
        </w:rPr>
      </w:pPr>
      <w:r>
        <w:rPr>
          <w:rFonts w:ascii="Arial" w:cs="Arial" w:eastAsia="Arial" w:hAnsi="Arial"/>
          <w:sz w:val="18"/>
          <w:szCs w:val="18"/>
          <w:color w:val="auto"/>
        </w:rPr>
        <w:t>(Address of Registrant’s Principal Executive Offices)</w:t>
      </w:r>
    </w:p>
    <w:p>
      <w:pPr>
        <w:spacing w:after="0" w:line="20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87" w:lineRule="exact"/>
        <w:rPr>
          <w:sz w:val="24"/>
          <w:szCs w:val="24"/>
          <w:color w:val="auto"/>
        </w:rPr>
      </w:pPr>
    </w:p>
    <w:p>
      <w:pPr>
        <w:ind w:left="464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199"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199"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203200</wp:posOffset>
            </wp:positionV>
            <wp:extent cx="7134225"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4225" cy="8255"/>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220345</wp:posOffset>
            </wp:positionV>
            <wp:extent cx="7134225"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4225" cy="25400"/>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534035</wp:posOffset>
            </wp:positionV>
            <wp:extent cx="7134225"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0139"/>
          </w:cols>
          <w:pgMar w:left="320" w:top="690"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4" w:lineRule="exact"/>
        <w:rPr>
          <w:sz w:val="20"/>
          <w:szCs w:val="20"/>
          <w:color w:val="auto"/>
        </w:rPr>
      </w:pPr>
    </w:p>
    <w:p>
      <w:pPr>
        <w:ind w:firstLine="640"/>
        <w:spacing w:after="0" w:line="270"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5" w:lineRule="exact"/>
        <w:rPr>
          <w:sz w:val="20"/>
          <w:szCs w:val="20"/>
          <w:color w:val="auto"/>
        </w:rPr>
      </w:pPr>
    </w:p>
    <w:p>
      <w:pPr>
        <w:spacing w:after="0"/>
        <w:rPr>
          <w:sz w:val="20"/>
          <w:szCs w:val="20"/>
          <w:color w:val="auto"/>
        </w:rPr>
      </w:pPr>
      <w:r>
        <w:rPr>
          <w:rFonts w:ascii="Arial" w:cs="Arial" w:eastAsia="Arial" w:hAnsi="Arial"/>
          <w:sz w:val="18"/>
          <w:szCs w:val="18"/>
          <w:color w:val="auto"/>
        </w:rPr>
        <w:t>Date: February 22, 2022</w:t>
      </w:r>
    </w:p>
    <w:p>
      <w:pPr>
        <w:spacing w:after="0" w:line="220"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19"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7"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Ana Graciela de Méndez</w:t>
      </w:r>
    </w:p>
    <w:p>
      <w:pPr>
        <w:spacing w:after="0" w:line="19"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Name: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3791585</wp:posOffset>
            </wp:positionH>
            <wp:positionV relativeFrom="paragraph">
              <wp:posOffset>-130175</wp:posOffset>
            </wp:positionV>
            <wp:extent cx="334645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46450" cy="8255"/>
                    </a:xfrm>
                    <a:prstGeom prst="rect">
                      <a:avLst/>
                    </a:prstGeom>
                    <a:noFill/>
                  </pic:spPr>
                </pic:pic>
              </a:graphicData>
            </a:graphic>
          </wp:anchor>
        </w:drawing>
      </w:r>
    </w:p>
    <w:p>
      <w:pPr>
        <w:ind w:left="564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428625</wp:posOffset>
            </wp:positionV>
            <wp:extent cx="7134225"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895"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597535</wp:posOffset>
            </wp:positionV>
            <wp:extent cx="7196455" cy="14401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4401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spacing w:after="0" w:line="274" w:lineRule="auto"/>
        <w:rPr>
          <w:sz w:val="20"/>
          <w:szCs w:val="20"/>
          <w:color w:val="auto"/>
        </w:rPr>
      </w:pPr>
      <w:r>
        <w:rPr>
          <w:rFonts w:ascii="Arial" w:cs="Arial" w:eastAsia="Arial" w:hAnsi="Arial"/>
          <w:sz w:val="18"/>
          <w:szCs w:val="18"/>
          <w:b w:val="1"/>
          <w:bCs w:val="1"/>
          <w:color w:val="auto"/>
        </w:rPr>
        <w:t>BLADEX ANNOUNCES PROFIT FOR THE FOURTH QUARTER 2021 OF $20.1 MILLION, OR $0.54 PER SHARE FULL-YEAR 2021 PROFIT OF $62.7 MILLION, OR $1.62 PER SHARE</w:t>
      </w:r>
    </w:p>
    <w:p>
      <w:pPr>
        <w:spacing w:after="0" w:line="16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February 22, 2022</w:t>
      </w:r>
    </w:p>
    <w:p>
      <w:pPr>
        <w:spacing w:after="0" w:line="220" w:lineRule="exact"/>
        <w:rPr>
          <w:sz w:val="20"/>
          <w:szCs w:val="20"/>
          <w:color w:val="auto"/>
        </w:rPr>
      </w:pPr>
    </w:p>
    <w:p>
      <w:pPr>
        <w:jc w:val="both"/>
        <w:spacing w:after="0" w:line="261"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Fourth Quarter (“4Q21”) and Full-Year (“FY21”) ended December 31, 2021.</w:t>
      </w:r>
    </w:p>
    <w:p>
      <w:pPr>
        <w:spacing w:after="0" w:line="183" w:lineRule="exact"/>
        <w:rPr>
          <w:sz w:val="20"/>
          <w:szCs w:val="20"/>
          <w:color w:val="auto"/>
        </w:rPr>
      </w:pPr>
    </w:p>
    <w:p>
      <w:pPr>
        <w:jc w:val="both"/>
        <w:spacing w:after="0" w:line="270"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504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1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1"/>
        </w:trPr>
        <w:tc>
          <w:tcPr>
            <w:tcW w:w="5040" w:type="dxa"/>
            <w:vAlign w:val="bottom"/>
            <w:gridSpan w:val="2"/>
          </w:tcPr>
          <w:p>
            <w:pPr>
              <w:spacing w:after="0"/>
              <w:rPr>
                <w:sz w:val="20"/>
                <w:szCs w:val="20"/>
                <w:color w:val="auto"/>
              </w:rPr>
            </w:pPr>
            <w:r>
              <w:rPr>
                <w:rFonts w:ascii="Arial" w:cs="Arial" w:eastAsia="Arial" w:hAnsi="Arial"/>
                <w:sz w:val="18"/>
                <w:szCs w:val="18"/>
                <w:color w:val="auto"/>
              </w:rPr>
              <w:t>(US$ million, except percentages and per share amounts)</w:t>
            </w:r>
          </w:p>
        </w:tc>
        <w:tc>
          <w:tcPr>
            <w:tcW w:w="180" w:type="dxa"/>
            <w:vAlign w:val="bottom"/>
          </w:tcPr>
          <w:p>
            <w:pPr>
              <w:spacing w:after="0"/>
              <w:rPr>
                <w:sz w:val="24"/>
                <w:szCs w:val="24"/>
                <w:color w:val="auto"/>
              </w:rPr>
            </w:pPr>
          </w:p>
        </w:tc>
        <w:tc>
          <w:tcPr>
            <w:tcW w:w="10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4Q21</w:t>
            </w:r>
          </w:p>
        </w:tc>
        <w:tc>
          <w:tcPr>
            <w:tcW w:w="180" w:type="dxa"/>
            <w:vAlign w:val="bottom"/>
          </w:tcPr>
          <w:p>
            <w:pPr>
              <w:spacing w:after="0"/>
              <w:rPr>
                <w:sz w:val="24"/>
                <w:szCs w:val="24"/>
                <w:color w:val="auto"/>
              </w:rPr>
            </w:pPr>
          </w:p>
        </w:tc>
        <w:tc>
          <w:tcPr>
            <w:tcW w:w="106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3Q21</w:t>
            </w:r>
          </w:p>
        </w:tc>
        <w:tc>
          <w:tcPr>
            <w:tcW w:w="200" w:type="dxa"/>
            <w:vAlign w:val="bottom"/>
          </w:tcPr>
          <w:p>
            <w:pPr>
              <w:spacing w:after="0"/>
              <w:rPr>
                <w:sz w:val="24"/>
                <w:szCs w:val="24"/>
                <w:color w:val="auto"/>
              </w:rPr>
            </w:pPr>
          </w:p>
        </w:tc>
        <w:tc>
          <w:tcPr>
            <w:tcW w:w="10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4Q20</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0" w:type="dxa"/>
            <w:vAlign w:val="bottom"/>
          </w:tcPr>
          <w:p>
            <w:pPr>
              <w:jc w:val="right"/>
              <w:ind w:right="231"/>
              <w:spacing w:after="0"/>
              <w:rPr>
                <w:sz w:val="20"/>
                <w:szCs w:val="20"/>
                <w:color w:val="auto"/>
              </w:rPr>
            </w:pPr>
            <w:r>
              <w:rPr>
                <w:rFonts w:ascii="Arial" w:cs="Arial" w:eastAsia="Arial" w:hAnsi="Arial"/>
                <w:sz w:val="18"/>
                <w:szCs w:val="18"/>
                <w:b w:val="1"/>
                <w:bCs w:val="1"/>
                <w:color w:val="auto"/>
              </w:rPr>
              <w:t>2021</w:t>
            </w: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0" w:type="dxa"/>
            <w:vAlign w:val="bottom"/>
          </w:tcPr>
          <w:p>
            <w:pPr>
              <w:jc w:val="right"/>
              <w:ind w:right="231"/>
              <w:spacing w:after="0"/>
              <w:rPr>
                <w:sz w:val="20"/>
                <w:szCs w:val="20"/>
                <w:color w:val="auto"/>
              </w:rPr>
            </w:pPr>
            <w:r>
              <w:rPr>
                <w:rFonts w:ascii="Arial" w:cs="Arial" w:eastAsia="Arial" w:hAnsi="Arial"/>
                <w:sz w:val="18"/>
                <w:szCs w:val="18"/>
                <w:b w:val="1"/>
                <w:bCs w:val="1"/>
                <w:color w:val="auto"/>
              </w:rPr>
              <w:t>2020</w:t>
            </w:r>
          </w:p>
        </w:tc>
        <w:tc>
          <w:tcPr>
            <w:tcW w:w="160" w:type="dxa"/>
            <w:vAlign w:val="bottom"/>
          </w:tcPr>
          <w:p>
            <w:pPr>
              <w:spacing w:after="0"/>
              <w:rPr>
                <w:sz w:val="24"/>
                <w:szCs w:val="24"/>
                <w:color w:val="auto"/>
              </w:rPr>
            </w:pPr>
          </w:p>
        </w:tc>
      </w:tr>
      <w:tr>
        <w:trPr>
          <w:trHeight w:val="208"/>
        </w:trPr>
        <w:tc>
          <w:tcPr>
            <w:tcW w:w="49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3"/>
        </w:trPr>
        <w:tc>
          <w:tcPr>
            <w:tcW w:w="5040" w:type="dxa"/>
            <w:vAlign w:val="bottom"/>
            <w:gridSpan w:val="2"/>
          </w:tcPr>
          <w:p>
            <w:pPr>
              <w:spacing w:after="0"/>
              <w:rPr>
                <w:sz w:val="20"/>
                <w:szCs w:val="20"/>
                <w:color w:val="auto"/>
              </w:rPr>
            </w:pPr>
            <w:r>
              <w:rPr>
                <w:rFonts w:ascii="Arial" w:cs="Arial" w:eastAsia="Arial" w:hAnsi="Arial"/>
                <w:sz w:val="18"/>
                <w:szCs w:val="18"/>
                <w:color w:val="auto"/>
              </w:rPr>
              <w:t>Net Interest Income ("NII")</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24.8</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22.1</w:t>
            </w:r>
          </w:p>
        </w:tc>
        <w:tc>
          <w:tcPr>
            <w:tcW w:w="200" w:type="dxa"/>
            <w:vAlign w:val="bottom"/>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22.3</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86.8</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92.5</w:t>
            </w:r>
          </w:p>
        </w:tc>
      </w:tr>
      <w:tr>
        <w:trPr>
          <w:trHeight w:val="213"/>
        </w:trPr>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6.2</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4.8</w:t>
            </w:r>
          </w:p>
        </w:tc>
        <w:tc>
          <w:tcPr>
            <w:tcW w:w="200" w:type="dxa"/>
            <w:vAlign w:val="bottom"/>
            <w:shd w:val="clear" w:color="auto" w:fill="CCEEFF"/>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18.3</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10.4</w:t>
            </w:r>
          </w:p>
        </w:tc>
      </w:tr>
      <w:tr>
        <w:trPr>
          <w:trHeight w:val="213"/>
        </w:trPr>
        <w:tc>
          <w:tcPr>
            <w:tcW w:w="5040" w:type="dxa"/>
            <w:vAlign w:val="bottom"/>
            <w:gridSpan w:val="2"/>
          </w:tcPr>
          <w:p>
            <w:pPr>
              <w:spacing w:after="0"/>
              <w:rPr>
                <w:sz w:val="20"/>
                <w:szCs w:val="20"/>
                <w:color w:val="auto"/>
              </w:rPr>
            </w:pPr>
            <w:r>
              <w:rPr>
                <w:rFonts w:ascii="Arial" w:cs="Arial" w:eastAsia="Arial" w:hAnsi="Arial"/>
                <w:sz w:val="18"/>
                <w:szCs w:val="18"/>
                <w:color w:val="auto"/>
              </w:rPr>
              <w:t>(Loss) gain on financial instruments, net</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(1.3)</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200"/>
              <w:spacing w:after="0"/>
              <w:rPr>
                <w:sz w:val="20"/>
                <w:szCs w:val="20"/>
                <w:color w:val="auto"/>
              </w:rPr>
            </w:pPr>
            <w:r>
              <w:rPr>
                <w:rFonts w:ascii="Arial" w:cs="Arial" w:eastAsia="Arial" w:hAnsi="Arial"/>
                <w:sz w:val="18"/>
                <w:szCs w:val="18"/>
                <w:color w:val="auto"/>
              </w:rPr>
              <w:t>(0.1)</w:t>
            </w:r>
          </w:p>
        </w:tc>
        <w:tc>
          <w:tcPr>
            <w:tcW w:w="200" w:type="dxa"/>
            <w:vAlign w:val="bottom"/>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160"/>
              <w:spacing w:after="0"/>
              <w:rPr>
                <w:sz w:val="20"/>
                <w:szCs w:val="20"/>
                <w:color w:val="auto"/>
              </w:rPr>
            </w:pPr>
            <w:r>
              <w:rPr>
                <w:rFonts w:ascii="Arial" w:cs="Arial" w:eastAsia="Arial" w:hAnsi="Arial"/>
                <w:sz w:val="18"/>
                <w:szCs w:val="18"/>
                <w:color w:val="auto"/>
              </w:rPr>
              <w:t>(0.1)</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(1.3)</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(4.8)</w:t>
            </w:r>
          </w:p>
        </w:tc>
      </w:tr>
      <w:tr>
        <w:trPr>
          <w:trHeight w:val="213"/>
        </w:trPr>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Other income, net</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0.1</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0.1</w:t>
            </w:r>
          </w:p>
        </w:tc>
        <w:tc>
          <w:tcPr>
            <w:tcW w:w="200" w:type="dxa"/>
            <w:vAlign w:val="bottom"/>
            <w:shd w:val="clear" w:color="auto" w:fill="CCEEFF"/>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0.2</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0.4</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w:t>
            </w:r>
          </w:p>
        </w:tc>
      </w:tr>
      <w:tr>
        <w:trPr>
          <w:trHeight w:val="213"/>
        </w:trPr>
        <w:tc>
          <w:tcPr>
            <w:tcW w:w="5040" w:type="dxa"/>
            <w:vAlign w:val="bottom"/>
            <w:gridSpan w:val="2"/>
          </w:tcPr>
          <w:p>
            <w:pPr>
              <w:spacing w:after="0"/>
              <w:rPr>
                <w:sz w:val="20"/>
                <w:szCs w:val="20"/>
                <w:color w:val="auto"/>
              </w:rPr>
            </w:pPr>
            <w:r>
              <w:rPr>
                <w:rFonts w:ascii="Arial" w:cs="Arial" w:eastAsia="Arial" w:hAnsi="Arial"/>
                <w:sz w:val="18"/>
                <w:szCs w:val="18"/>
                <w:color w:val="auto"/>
              </w:rPr>
              <w:t>Total revenues</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29.8</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26.8</w:t>
            </w:r>
          </w:p>
        </w:tc>
        <w:tc>
          <w:tcPr>
            <w:tcW w:w="200" w:type="dxa"/>
            <w:vAlign w:val="bottom"/>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25.3</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104.2</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99.2</w:t>
            </w:r>
          </w:p>
        </w:tc>
      </w:tr>
      <w:tr>
        <w:trPr>
          <w:trHeight w:val="213"/>
        </w:trPr>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(Provision for) reversal of credit losses</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(0.2)</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(0.8)</w:t>
            </w:r>
          </w:p>
        </w:tc>
        <w:tc>
          <w:tcPr>
            <w:tcW w:w="200" w:type="dxa"/>
            <w:vAlign w:val="bottom"/>
            <w:shd w:val="clear" w:color="auto" w:fill="CCEEFF"/>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0.3</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(2.3)</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w:t>
            </w:r>
          </w:p>
        </w:tc>
      </w:tr>
      <w:tr>
        <w:trPr>
          <w:trHeight w:val="213"/>
        </w:trPr>
        <w:tc>
          <w:tcPr>
            <w:tcW w:w="5040" w:type="dxa"/>
            <w:vAlign w:val="bottom"/>
            <w:gridSpan w:val="2"/>
          </w:tcPr>
          <w:p>
            <w:pPr>
              <w:spacing w:after="0"/>
              <w:rPr>
                <w:sz w:val="20"/>
                <w:szCs w:val="20"/>
                <w:color w:val="auto"/>
              </w:rPr>
            </w:pPr>
            <w:r>
              <w:rPr>
                <w:rFonts w:ascii="Arial" w:cs="Arial" w:eastAsia="Arial" w:hAnsi="Arial"/>
                <w:sz w:val="18"/>
                <w:szCs w:val="18"/>
                <w:color w:val="auto"/>
              </w:rPr>
              <w:t>Gain on non-financial assets, net</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0.7</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0.0</w:t>
            </w:r>
          </w:p>
        </w:tc>
        <w:tc>
          <w:tcPr>
            <w:tcW w:w="200" w:type="dxa"/>
            <w:vAlign w:val="bottom"/>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0.3</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0.7</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0.3</w:t>
            </w:r>
          </w:p>
        </w:tc>
      </w:tr>
      <w:tr>
        <w:trPr>
          <w:trHeight w:val="213"/>
        </w:trPr>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(10.3)</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(10.3)</w:t>
            </w:r>
          </w:p>
        </w:tc>
        <w:tc>
          <w:tcPr>
            <w:tcW w:w="200" w:type="dxa"/>
            <w:vAlign w:val="bottom"/>
            <w:shd w:val="clear" w:color="auto" w:fill="CCEEFF"/>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(10.2)</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(39.9)</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(37.3)</w:t>
            </w:r>
          </w:p>
        </w:tc>
      </w:tr>
      <w:tr>
        <w:trPr>
          <w:trHeight w:val="213"/>
        </w:trPr>
        <w:tc>
          <w:tcPr>
            <w:tcW w:w="5040" w:type="dxa"/>
            <w:vAlign w:val="bottom"/>
            <w:gridSpan w:val="2"/>
          </w:tcPr>
          <w:p>
            <w:pPr>
              <w:spacing w:after="0"/>
              <w:rPr>
                <w:sz w:val="20"/>
                <w:szCs w:val="20"/>
                <w:color w:val="auto"/>
              </w:rPr>
            </w:pPr>
            <w:r>
              <w:rPr>
                <w:rFonts w:ascii="Arial" w:cs="Arial" w:eastAsia="Arial" w:hAnsi="Arial"/>
                <w:sz w:val="18"/>
                <w:szCs w:val="18"/>
                <w:color w:val="auto"/>
              </w:rPr>
              <w:t>Profit for the period</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20.1</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15.7</w:t>
            </w:r>
          </w:p>
        </w:tc>
        <w:tc>
          <w:tcPr>
            <w:tcW w:w="200" w:type="dxa"/>
            <w:vAlign w:val="bottom"/>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15.7</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62.7</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63.6</w:t>
            </w:r>
          </w:p>
        </w:tc>
      </w:tr>
      <w:tr>
        <w:trPr>
          <w:trHeight w:val="213"/>
        </w:trPr>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1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4"/>
        </w:trPr>
        <w:tc>
          <w:tcPr>
            <w:tcW w:w="5040" w:type="dxa"/>
            <w:vAlign w:val="bottom"/>
            <w:gridSpan w:val="2"/>
          </w:tcPr>
          <w:p>
            <w:pPr>
              <w:spacing w:after="0" w:line="253"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0.54</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0.41</w:t>
            </w:r>
          </w:p>
        </w:tc>
        <w:tc>
          <w:tcPr>
            <w:tcW w:w="200" w:type="dxa"/>
            <w:vAlign w:val="bottom"/>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0.40</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1.62</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1.60</w:t>
            </w: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7.9%</w:t>
            </w:r>
          </w:p>
        </w:tc>
        <w:tc>
          <w:tcPr>
            <w:tcW w:w="18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6.1%</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6.2%</w:t>
            </w:r>
          </w:p>
        </w:tc>
      </w:tr>
      <w:tr>
        <w:trPr>
          <w:trHeight w:val="213"/>
        </w:trPr>
        <w:tc>
          <w:tcPr>
            <w:tcW w:w="5040" w:type="dxa"/>
            <w:vAlign w:val="bottom"/>
            <w:gridSpan w:val="2"/>
          </w:tcPr>
          <w:p>
            <w:pPr>
              <w:spacing w:after="0"/>
              <w:rPr>
                <w:sz w:val="20"/>
                <w:szCs w:val="20"/>
                <w:color w:val="auto"/>
              </w:rPr>
            </w:pPr>
            <w:r>
              <w:rPr>
                <w:rFonts w:ascii="Arial" w:cs="Arial" w:eastAsia="Arial" w:hAnsi="Arial"/>
                <w:sz w:val="18"/>
                <w:szCs w:val="18"/>
                <w:color w:val="auto"/>
              </w:rPr>
              <w:t>Return on Average Assets (“ROAA”)</w:t>
            </w:r>
          </w:p>
        </w:tc>
        <w:tc>
          <w:tcPr>
            <w:tcW w:w="18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1.1%</w:t>
            </w:r>
          </w:p>
        </w:tc>
        <w:tc>
          <w:tcPr>
            <w:tcW w:w="18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0.9%</w:t>
            </w: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1.0%</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0.9%</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1.0%</w:t>
            </w: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1.42%</w:t>
            </w:r>
          </w:p>
        </w:tc>
        <w:tc>
          <w:tcPr>
            <w:tcW w:w="18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1.33%</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1.37%</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1.32%</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1.41%</w:t>
            </w:r>
          </w:p>
        </w:tc>
      </w:tr>
      <w:tr>
        <w:trPr>
          <w:trHeight w:val="254"/>
        </w:trPr>
        <w:tc>
          <w:tcPr>
            <w:tcW w:w="5040" w:type="dxa"/>
            <w:vAlign w:val="bottom"/>
            <w:gridSpan w:val="2"/>
          </w:tcPr>
          <w:p>
            <w:pPr>
              <w:spacing w:after="0" w:line="253"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18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1.26%</w:t>
            </w:r>
          </w:p>
        </w:tc>
        <w:tc>
          <w:tcPr>
            <w:tcW w:w="180" w:type="dxa"/>
            <w:vAlign w:val="bottom"/>
          </w:tcPr>
          <w:p>
            <w:pPr>
              <w:spacing w:after="0"/>
              <w:rPr>
                <w:sz w:val="22"/>
                <w:szCs w:val="22"/>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1.17%</w:t>
            </w: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1.17%</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1.15%</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1.13%</w:t>
            </w: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34.6%</w:t>
            </w:r>
          </w:p>
        </w:tc>
        <w:tc>
          <w:tcPr>
            <w:tcW w:w="18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38.5%</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40.2%</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38.3%</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37.6%</w:t>
            </w:r>
          </w:p>
        </w:tc>
      </w:tr>
      <w:tr>
        <w:trPr>
          <w:trHeight w:val="213"/>
        </w:trPr>
        <w:tc>
          <w:tcPr>
            <w:tcW w:w="5040" w:type="dxa"/>
            <w:vAlign w:val="bottom"/>
            <w:gridSpan w:val="2"/>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1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Arial" w:cs="Arial" w:eastAsia="Arial" w:hAnsi="Arial"/>
                <w:sz w:val="18"/>
                <w:szCs w:val="18"/>
                <w:color w:val="auto"/>
              </w:rPr>
              <w:t xml:space="preserve">Credit Portfolio </w:t>
            </w:r>
            <w:r>
              <w:rPr>
                <w:rFonts w:ascii="Arial" w:cs="Arial" w:eastAsia="Arial" w:hAnsi="Arial"/>
                <w:sz w:val="29"/>
                <w:szCs w:val="29"/>
                <w:color w:val="auto"/>
                <w:vertAlign w:val="superscript"/>
              </w:rPr>
              <w:t>(6)</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7,365</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6,956</w:t>
            </w:r>
          </w:p>
        </w:tc>
        <w:tc>
          <w:tcPr>
            <w:tcW w:w="200" w:type="dxa"/>
            <w:vAlign w:val="bottom"/>
            <w:shd w:val="clear" w:color="auto" w:fill="CCEEFF"/>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5,946</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7,365</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5,946</w:t>
            </w:r>
          </w:p>
        </w:tc>
      </w:tr>
      <w:tr>
        <w:trPr>
          <w:trHeight w:val="254"/>
        </w:trPr>
        <w:tc>
          <w:tcPr>
            <w:tcW w:w="5040" w:type="dxa"/>
            <w:vAlign w:val="bottom"/>
            <w:gridSpan w:val="2"/>
          </w:tcPr>
          <w:p>
            <w:pPr>
              <w:spacing w:after="0" w:line="253"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6,540</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6,188</w:t>
            </w:r>
          </w:p>
        </w:tc>
        <w:tc>
          <w:tcPr>
            <w:tcW w:w="200" w:type="dxa"/>
            <w:vAlign w:val="bottom"/>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5,551</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6,540</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5,551</w:t>
            </w:r>
          </w:p>
        </w:tc>
      </w:tr>
      <w:tr>
        <w:trPr>
          <w:trHeight w:val="213"/>
        </w:trPr>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Investment Portfolio</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825</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768</w:t>
            </w:r>
          </w:p>
        </w:tc>
        <w:tc>
          <w:tcPr>
            <w:tcW w:w="200" w:type="dxa"/>
            <w:vAlign w:val="bottom"/>
            <w:shd w:val="clear" w:color="auto" w:fill="CCEEFF"/>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395</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825</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395</w:t>
            </w:r>
          </w:p>
        </w:tc>
      </w:tr>
      <w:tr>
        <w:trPr>
          <w:trHeight w:val="213"/>
        </w:trPr>
        <w:tc>
          <w:tcPr>
            <w:tcW w:w="5040" w:type="dxa"/>
            <w:vAlign w:val="bottom"/>
            <w:gridSpan w:val="2"/>
          </w:tcPr>
          <w:p>
            <w:pPr>
              <w:spacing w:after="0"/>
              <w:rPr>
                <w:sz w:val="20"/>
                <w:szCs w:val="20"/>
                <w:color w:val="auto"/>
              </w:rPr>
            </w:pPr>
            <w:r>
              <w:rPr>
                <w:rFonts w:ascii="Arial" w:cs="Arial" w:eastAsia="Arial" w:hAnsi="Arial"/>
                <w:sz w:val="18"/>
                <w:szCs w:val="18"/>
                <w:color w:val="auto"/>
              </w:rPr>
              <w:t>Total assets</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8,038</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6,977</w:t>
            </w:r>
          </w:p>
        </w:tc>
        <w:tc>
          <w:tcPr>
            <w:tcW w:w="200" w:type="dxa"/>
            <w:vAlign w:val="bottom"/>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6,289</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8,038</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6,289</w:t>
            </w:r>
          </w:p>
        </w:tc>
      </w:tr>
      <w:tr>
        <w:trPr>
          <w:trHeight w:val="213"/>
        </w:trPr>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equity</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992</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1,013</w:t>
            </w:r>
          </w:p>
        </w:tc>
        <w:tc>
          <w:tcPr>
            <w:tcW w:w="200" w:type="dxa"/>
            <w:vAlign w:val="bottom"/>
            <w:shd w:val="clear" w:color="auto" w:fill="CCEEFF"/>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1,038</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992</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1,038</w:t>
            </w:r>
          </w:p>
        </w:tc>
      </w:tr>
      <w:tr>
        <w:trPr>
          <w:trHeight w:val="254"/>
        </w:trPr>
        <w:tc>
          <w:tcPr>
            <w:tcW w:w="5040" w:type="dxa"/>
            <w:vAlign w:val="bottom"/>
            <w:gridSpan w:val="2"/>
          </w:tcPr>
          <w:p>
            <w:pPr>
              <w:spacing w:after="0" w:line="253"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601</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060" w:type="dxa"/>
            <w:vAlign w:val="bottom"/>
            <w:gridSpan w:val="2"/>
          </w:tcPr>
          <w:p>
            <w:pPr>
              <w:jc w:val="right"/>
              <w:ind w:right="260"/>
              <w:spacing w:after="0"/>
              <w:rPr>
                <w:sz w:val="20"/>
                <w:szCs w:val="20"/>
                <w:color w:val="auto"/>
              </w:rPr>
            </w:pPr>
            <w:r>
              <w:rPr>
                <w:rFonts w:ascii="Arial" w:cs="Arial" w:eastAsia="Arial" w:hAnsi="Arial"/>
                <w:sz w:val="18"/>
                <w:szCs w:val="18"/>
                <w:color w:val="auto"/>
              </w:rPr>
              <w:t>667</w:t>
            </w:r>
          </w:p>
        </w:tc>
        <w:tc>
          <w:tcPr>
            <w:tcW w:w="200" w:type="dxa"/>
            <w:vAlign w:val="bottom"/>
          </w:tcPr>
          <w:p>
            <w:pPr>
              <w:jc w:val="right"/>
              <w:ind w:right="11"/>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628</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601</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628</w:t>
            </w: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Arial" w:cs="Arial" w:eastAsia="Arial" w:hAnsi="Arial"/>
                <w:sz w:val="18"/>
                <w:szCs w:val="18"/>
                <w:color w:val="auto"/>
              </w:rPr>
              <w:t xml:space="preserve">Tier 1 Capital to risk-weighted assets (Basel III – IRB) </w:t>
            </w:r>
            <w:r>
              <w:rPr>
                <w:rFonts w:ascii="Arial" w:cs="Arial" w:eastAsia="Arial" w:hAnsi="Arial"/>
                <w:sz w:val="29"/>
                <w:szCs w:val="29"/>
                <w:color w:val="auto"/>
                <w:vertAlign w:val="superscript"/>
              </w:rPr>
              <w:t>(9)</w:t>
            </w: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19.1%</w:t>
            </w:r>
          </w:p>
        </w:tc>
        <w:tc>
          <w:tcPr>
            <w:tcW w:w="18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21.3%</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26.0%</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19.1%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26.0%</w:t>
            </w:r>
          </w:p>
        </w:tc>
      </w:tr>
      <w:tr>
        <w:trPr>
          <w:trHeight w:val="254"/>
        </w:trPr>
        <w:tc>
          <w:tcPr>
            <w:tcW w:w="5040" w:type="dxa"/>
            <w:vAlign w:val="bottom"/>
            <w:gridSpan w:val="2"/>
          </w:tcPr>
          <w:p>
            <w:pPr>
              <w:spacing w:after="0" w:line="253" w:lineRule="exact"/>
              <w:rPr>
                <w:sz w:val="20"/>
                <w:szCs w:val="20"/>
                <w:color w:val="auto"/>
              </w:rPr>
            </w:pPr>
            <w:r>
              <w:rPr>
                <w:rFonts w:ascii="Arial" w:cs="Arial" w:eastAsia="Arial" w:hAnsi="Arial"/>
                <w:sz w:val="18"/>
                <w:szCs w:val="18"/>
                <w:color w:val="auto"/>
              </w:rPr>
              <w:t xml:space="preserve">Capital Adequacy Ratio (Regulatory) </w:t>
            </w:r>
            <w:r>
              <w:rPr>
                <w:rFonts w:ascii="Arial" w:cs="Arial" w:eastAsia="Arial" w:hAnsi="Arial"/>
                <w:sz w:val="29"/>
                <w:szCs w:val="29"/>
                <w:color w:val="auto"/>
                <w:vertAlign w:val="superscript"/>
              </w:rPr>
              <w:t>(10)</w:t>
            </w:r>
          </w:p>
        </w:tc>
        <w:tc>
          <w:tcPr>
            <w:tcW w:w="18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15.6%</w:t>
            </w:r>
          </w:p>
        </w:tc>
        <w:tc>
          <w:tcPr>
            <w:tcW w:w="180" w:type="dxa"/>
            <w:vAlign w:val="bottom"/>
          </w:tcPr>
          <w:p>
            <w:pPr>
              <w:spacing w:after="0"/>
              <w:rPr>
                <w:sz w:val="22"/>
                <w:szCs w:val="22"/>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16.9%</w:t>
            </w: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20.2%</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15.6%</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20.2%</w:t>
            </w:r>
          </w:p>
        </w:tc>
      </w:tr>
      <w:tr>
        <w:trPr>
          <w:trHeight w:val="213"/>
        </w:trPr>
        <w:tc>
          <w:tcPr>
            <w:tcW w:w="50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1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8.1</w:t>
            </w:r>
          </w:p>
        </w:tc>
        <w:tc>
          <w:tcPr>
            <w:tcW w:w="1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6.9</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6.1</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8.1</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6.1</w:t>
            </w:r>
          </w:p>
        </w:tc>
      </w:tr>
      <w:tr>
        <w:trPr>
          <w:trHeight w:val="254"/>
        </w:trPr>
        <w:tc>
          <w:tcPr>
            <w:tcW w:w="5040" w:type="dxa"/>
            <w:vAlign w:val="bottom"/>
            <w:gridSpan w:val="2"/>
          </w:tcPr>
          <w:p>
            <w:pPr>
              <w:spacing w:after="0" w:line="253"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(11)</w:t>
            </w:r>
          </w:p>
        </w:tc>
        <w:tc>
          <w:tcPr>
            <w:tcW w:w="18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17.5%</w:t>
            </w:r>
          </w:p>
        </w:tc>
        <w:tc>
          <w:tcPr>
            <w:tcW w:w="180" w:type="dxa"/>
            <w:vAlign w:val="bottom"/>
          </w:tcPr>
          <w:p>
            <w:pPr>
              <w:spacing w:after="0"/>
              <w:rPr>
                <w:sz w:val="22"/>
                <w:szCs w:val="22"/>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16.7%</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17.5%</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16.7%</w:t>
            </w: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(12)</w:t>
            </w: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0.2%</w:t>
            </w:r>
          </w:p>
        </w:tc>
        <w:tc>
          <w:tcPr>
            <w:tcW w:w="18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0.2%</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0.2%</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0.2%</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0.2%</w:t>
            </w:r>
          </w:p>
        </w:tc>
      </w:tr>
      <w:tr>
        <w:trPr>
          <w:trHeight w:val="254"/>
        </w:trPr>
        <w:tc>
          <w:tcPr>
            <w:tcW w:w="5040" w:type="dxa"/>
            <w:vAlign w:val="bottom"/>
            <w:gridSpan w:val="2"/>
          </w:tcPr>
          <w:p>
            <w:pPr>
              <w:spacing w:after="0" w:line="253" w:lineRule="exact"/>
              <w:rPr>
                <w:sz w:val="20"/>
                <w:szCs w:val="20"/>
                <w:color w:val="auto"/>
              </w:rPr>
            </w:pPr>
            <w:r>
              <w:rPr>
                <w:rFonts w:ascii="Arial" w:cs="Arial" w:eastAsia="Arial" w:hAnsi="Arial"/>
                <w:sz w:val="18"/>
                <w:szCs w:val="18"/>
                <w:color w:val="auto"/>
              </w:rPr>
              <w:t xml:space="preserve">Total allowance for losses to Credit Portfolio </w:t>
            </w:r>
            <w:r>
              <w:rPr>
                <w:rFonts w:ascii="Arial" w:cs="Arial" w:eastAsia="Arial" w:hAnsi="Arial"/>
                <w:sz w:val="29"/>
                <w:szCs w:val="29"/>
                <w:color w:val="auto"/>
                <w:vertAlign w:val="superscript"/>
              </w:rPr>
              <w:t>(13)</w:t>
            </w:r>
          </w:p>
        </w:tc>
        <w:tc>
          <w:tcPr>
            <w:tcW w:w="18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0.6%</w:t>
            </w:r>
          </w:p>
        </w:tc>
        <w:tc>
          <w:tcPr>
            <w:tcW w:w="180" w:type="dxa"/>
            <w:vAlign w:val="bottom"/>
          </w:tcPr>
          <w:p>
            <w:pPr>
              <w:spacing w:after="0"/>
              <w:rPr>
                <w:sz w:val="22"/>
                <w:szCs w:val="22"/>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0.7%</w:t>
            </w: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0.7%</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0.6%</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0.7%</w:t>
            </w:r>
          </w:p>
        </w:tc>
      </w:tr>
      <w:tr>
        <w:trPr>
          <w:trHeight w:val="254"/>
        </w:trPr>
        <w:tc>
          <w:tcPr>
            <w:tcW w:w="5040" w:type="dxa"/>
            <w:vAlign w:val="bottom"/>
            <w:gridSpan w:val="2"/>
            <w:shd w:val="clear" w:color="auto" w:fill="CCEEFF"/>
          </w:tcPr>
          <w:p>
            <w:pPr>
              <w:spacing w:after="0" w:line="253" w:lineRule="exact"/>
              <w:rPr>
                <w:sz w:val="20"/>
                <w:szCs w:val="20"/>
                <w:color w:val="auto"/>
              </w:rPr>
            </w:pPr>
            <w:r>
              <w:rPr>
                <w:rFonts w:ascii="Arial" w:cs="Arial" w:eastAsia="Arial" w:hAnsi="Arial"/>
                <w:sz w:val="18"/>
                <w:szCs w:val="18"/>
                <w:color w:val="auto"/>
              </w:rPr>
              <w:t xml:space="preserve">Total allowance for losses to credit-impaired loans (times) </w:t>
            </w:r>
            <w:r>
              <w:rPr>
                <w:rFonts w:ascii="Arial" w:cs="Arial" w:eastAsia="Arial" w:hAnsi="Arial"/>
                <w:sz w:val="29"/>
                <w:szCs w:val="29"/>
                <w:color w:val="auto"/>
                <w:vertAlign w:val="superscript"/>
              </w:rPr>
              <w:t>(13)</w:t>
            </w: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4.4</w:t>
            </w:r>
          </w:p>
        </w:tc>
        <w:tc>
          <w:tcPr>
            <w:tcW w:w="18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4.4</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4.2</w:t>
            </w:r>
          </w:p>
        </w:tc>
      </w:tr>
    </w:tbl>
    <w:p>
      <w:pPr>
        <w:spacing w:after="0" w:line="19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BUSINESS HIGHLIGHTS</w:t>
      </w:r>
    </w:p>
    <w:p>
      <w:pPr>
        <w:spacing w:after="0" w:line="224" w:lineRule="exact"/>
        <w:rPr>
          <w:sz w:val="20"/>
          <w:szCs w:val="20"/>
          <w:color w:val="auto"/>
        </w:rPr>
      </w:pPr>
    </w:p>
    <w:p>
      <w:pPr>
        <w:ind w:left="320" w:right="60" w:hanging="313"/>
        <w:spacing w:after="0" w:line="270" w:lineRule="auto"/>
        <w:tabs>
          <w:tab w:leader="none" w:pos="32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Bladex’s Profit for 4Q21 totaled $20.1 million (+28% QoQ; +27% YoY), as Net Interest Income (“NII”) and fee income improved, and operating expenses remained relatively stable.</w:t>
      </w:r>
    </w:p>
    <w:p>
      <w:pPr>
        <w:spacing w:after="0" w:line="201" w:lineRule="exact"/>
        <w:rPr>
          <w:rFonts w:ascii="Arial" w:cs="Arial" w:eastAsia="Arial" w:hAnsi="Arial"/>
          <w:sz w:val="18"/>
          <w:szCs w:val="18"/>
          <w:color w:val="auto"/>
        </w:rPr>
      </w:pPr>
    </w:p>
    <w:p>
      <w:pPr>
        <w:jc w:val="both"/>
        <w:ind w:left="320" w:right="60" w:hanging="313"/>
        <w:spacing w:after="0" w:line="258" w:lineRule="auto"/>
        <w:tabs>
          <w:tab w:leader="none" w:pos="32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Bank’s Profit for FY21 reached $62.7 million, nearly stable versus FY20 (-1% YoY), as higher top-line revenues (up 5% YoY) from net positive effect in volumes, and increased fee income generation (+76% YoY), nearly offset the impact of lower market rates, higher credit provision charges mainly associated to the Bank’s credit growth, and increased operating expenses back to pre-pandemic levels.</w:t>
      </w:r>
    </w:p>
    <w:p>
      <w:pPr>
        <w:sectPr>
          <w:pgSz w:w="11900" w:h="16838" w:orient="portrait"/>
          <w:cols w:equalWidth="0" w:num="1">
            <w:col w:w="11240"/>
          </w:cols>
          <w:pgMar w:left="320" w:top="1440" w:right="339" w:bottom="217" w:gutter="0" w:footer="0" w:header="0"/>
        </w:sectPr>
      </w:pPr>
    </w:p>
    <w:bookmarkStart w:id="3" w:name="page4"/>
    <w:bookmarkEnd w:id="3"/>
    <w:p>
      <w:pPr>
        <w:jc w:val="both"/>
        <w:spacing w:after="0" w:line="258" w:lineRule="auto"/>
        <w:tabs>
          <w:tab w:leader="none" w:pos="320" w:val="left"/>
        </w:tabs>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88900</wp:posOffset>
            </wp:positionV>
            <wp:extent cx="7134225"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4401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4401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both"/>
        <w:ind w:left="313" w:hanging="313"/>
        <w:spacing w:after="0" w:line="306" w:lineRule="auto"/>
        <w:tabs>
          <w:tab w:leader="none" w:pos="313" w:val="left"/>
        </w:tabs>
        <w:numPr>
          <w:ilvl w:val="0"/>
          <w:numId w:val="2"/>
        </w:numPr>
        <w:rPr>
          <w:rFonts w:ascii="Arial" w:cs="Arial" w:eastAsia="Arial" w:hAnsi="Arial"/>
          <w:sz w:val="16"/>
          <w:szCs w:val="16"/>
          <w:color w:val="auto"/>
        </w:rPr>
      </w:pPr>
      <w:r>
        <w:rPr>
          <w:rFonts w:ascii="Arial" w:cs="Arial" w:eastAsia="Arial" w:hAnsi="Arial"/>
          <w:sz w:val="16"/>
          <w:szCs w:val="16"/>
          <w:color w:val="auto"/>
        </w:rPr>
        <w:t>NII continued its quarterly growth trend, up 12% QoQ and 11% YoY, to $24.8 million for 4Q21, mainly driven by an improved portfolio mix with higher average lending and investment volumes and higher lending spreads. FY21 NII was down 6% YoY due to the net rate effect of lower market base rates on the Bank’s assets and liabilities, partly offset by higher average credit portfolio balances and improved interest-earning assets mix.</w:t>
      </w:r>
    </w:p>
    <w:p>
      <w:pPr>
        <w:spacing w:after="0" w:line="176" w:lineRule="exact"/>
        <w:rPr>
          <w:rFonts w:ascii="Arial" w:cs="Arial" w:eastAsia="Arial" w:hAnsi="Arial"/>
          <w:sz w:val="16"/>
          <w:szCs w:val="16"/>
          <w:color w:val="auto"/>
        </w:rPr>
      </w:pPr>
    </w:p>
    <w:p>
      <w:pPr>
        <w:ind w:left="313" w:right="20" w:hanging="313"/>
        <w:spacing w:after="0" w:line="300" w:lineRule="auto"/>
        <w:tabs>
          <w:tab w:leader="none" w:pos="313" w:val="left"/>
        </w:tabs>
        <w:numPr>
          <w:ilvl w:val="0"/>
          <w:numId w:val="2"/>
        </w:numPr>
        <w:rPr>
          <w:rFonts w:ascii="Arial" w:cs="Arial" w:eastAsia="Arial" w:hAnsi="Arial"/>
          <w:sz w:val="17"/>
          <w:szCs w:val="17"/>
          <w:color w:val="auto"/>
        </w:rPr>
      </w:pPr>
      <w:r>
        <w:rPr>
          <w:rFonts w:ascii="Arial" w:cs="Arial" w:eastAsia="Arial" w:hAnsi="Arial"/>
          <w:sz w:val="17"/>
          <w:szCs w:val="17"/>
          <w:color w:val="auto"/>
        </w:rPr>
        <w:t>Fees and commissions income increased 31% QoQ and 123% to $6.2 million in 4Q21, and up 76% YoY to $18.3 million for FY21, due to the improved activity in its transaction-based structuring and syndications business and sustained results in the Bank’s letters of credit business.</w:t>
      </w:r>
    </w:p>
    <w:p>
      <w:pPr>
        <w:spacing w:after="0" w:line="178" w:lineRule="exact"/>
        <w:rPr>
          <w:rFonts w:ascii="Arial" w:cs="Arial" w:eastAsia="Arial" w:hAnsi="Arial"/>
          <w:sz w:val="17"/>
          <w:szCs w:val="17"/>
          <w:color w:val="auto"/>
        </w:rPr>
      </w:pPr>
    </w:p>
    <w:p>
      <w:pPr>
        <w:jc w:val="both"/>
        <w:ind w:left="313" w:right="20" w:hanging="313"/>
        <w:spacing w:after="0" w:line="258"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Bank’s Credit Portfolio continued its quarterly growth trend (+6% QoQ and +24% YoY) to reach $7.4 billion as of December 31, 2021, propelled by higher lending origination (+29% QoQ; +80% YoY) and a threefold YoY increase in its portfolio of credit investment securities to complement the Bank’s lending business.</w:t>
      </w:r>
    </w:p>
    <w:p>
      <w:pPr>
        <w:spacing w:after="0" w:line="213" w:lineRule="exact"/>
        <w:rPr>
          <w:rFonts w:ascii="Arial" w:cs="Arial" w:eastAsia="Arial" w:hAnsi="Arial"/>
          <w:sz w:val="18"/>
          <w:szCs w:val="18"/>
          <w:color w:val="auto"/>
        </w:rPr>
      </w:pPr>
    </w:p>
    <w:p>
      <w:pPr>
        <w:jc w:val="both"/>
        <w:ind w:left="313" w:right="20" w:hanging="313"/>
        <w:spacing w:after="0" w:line="258"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solid Commercial Portfolio’s growth trend, reaching $6.5 billion at 4Q21 (+6% QoQ; +18% YoY), remained centered on diversification across the Region and high-quality borrowers, evidenced by the successful collection of all scheduled loan maturities, as well as the short-term nature of its business (75% maturing in less than a year).</w:t>
      </w:r>
    </w:p>
    <w:p>
      <w:pPr>
        <w:spacing w:after="0" w:line="186" w:lineRule="exact"/>
        <w:rPr>
          <w:rFonts w:ascii="Arial" w:cs="Arial" w:eastAsia="Arial" w:hAnsi="Arial"/>
          <w:sz w:val="18"/>
          <w:szCs w:val="18"/>
          <w:color w:val="auto"/>
        </w:rPr>
      </w:pPr>
    </w:p>
    <w:p>
      <w:pPr>
        <w:jc w:val="both"/>
        <w:ind w:left="313" w:hanging="313"/>
        <w:spacing w:after="0" w:line="258"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Bladex’s asset quality remained pristine with credit-impaired loans (“NPLs”) unchanged at $11 million or 0.2% of total Loan Portfolio as of December 31, 2021. Credits categorized as Stage 2 under IFRS 9 (with increased risk since origination) represented 2% of total credits, down from 3% and 6% a quarter and year ago, respectively, with the remaining 98% categorized as Stage 1 or low-risk credits.</w:t>
      </w:r>
    </w:p>
    <w:p>
      <w:pPr>
        <w:spacing w:after="0" w:line="213" w:lineRule="exact"/>
        <w:rPr>
          <w:rFonts w:ascii="Arial" w:cs="Arial" w:eastAsia="Arial" w:hAnsi="Arial"/>
          <w:sz w:val="18"/>
          <w:szCs w:val="18"/>
          <w:color w:val="auto"/>
        </w:rPr>
      </w:pPr>
    </w:p>
    <w:p>
      <w:pPr>
        <w:ind w:left="313" w:right="20" w:hanging="313"/>
        <w:spacing w:after="0" w:line="270"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As of December 31, 2021, the total allowance for credit losses increased to $47.1 million, representing 4.4 times NPL balances. Provision for credit losses of $2.3 million in FY21 was mostly associated to the Bank’s credit growth.</w:t>
      </w:r>
    </w:p>
    <w:p>
      <w:pPr>
        <w:spacing w:after="0" w:line="201" w:lineRule="exact"/>
        <w:rPr>
          <w:rFonts w:ascii="Arial" w:cs="Arial" w:eastAsia="Arial" w:hAnsi="Arial"/>
          <w:sz w:val="18"/>
          <w:szCs w:val="18"/>
          <w:color w:val="auto"/>
        </w:rPr>
      </w:pPr>
    </w:p>
    <w:p>
      <w:pPr>
        <w:ind w:left="313" w:right="20" w:hanging="313"/>
        <w:spacing w:after="0" w:line="270"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Bladex´s liquidity position stood at $1.4 billion, or 17% of total assets as of December 31, 2021, led by its resilient level of deposits and well diversified funding structure, favoring its ample access to capital markets.</w:t>
      </w:r>
    </w:p>
    <w:p>
      <w:pPr>
        <w:spacing w:after="0" w:line="201" w:lineRule="exact"/>
        <w:rPr>
          <w:rFonts w:ascii="Arial" w:cs="Arial" w:eastAsia="Arial" w:hAnsi="Arial"/>
          <w:sz w:val="18"/>
          <w:szCs w:val="18"/>
          <w:color w:val="auto"/>
        </w:rPr>
      </w:pPr>
    </w:p>
    <w:p>
      <w:pPr>
        <w:jc w:val="both"/>
        <w:ind w:left="313" w:right="20" w:hanging="313"/>
        <w:spacing w:after="0" w:line="255" w:lineRule="auto"/>
        <w:tabs>
          <w:tab w:leader="none" w:pos="313" w:val="left"/>
        </w:tabs>
        <w:numPr>
          <w:ilvl w:val="0"/>
          <w:numId w:val="2"/>
        </w:numPr>
        <w:rPr>
          <w:rFonts w:ascii="Arial" w:cs="Arial" w:eastAsia="Arial" w:hAnsi="Arial"/>
          <w:sz w:val="18"/>
          <w:szCs w:val="18"/>
          <w:color w:val="auto"/>
        </w:rPr>
      </w:pPr>
      <w:r>
        <w:rPr>
          <w:rFonts w:ascii="Arial" w:cs="Arial" w:eastAsia="Arial" w:hAnsi="Arial"/>
          <w:sz w:val="18"/>
          <w:szCs w:val="18"/>
          <w:color w:val="auto"/>
        </w:rPr>
        <w:t>As of December 31, 2021, the Bank´s capitalization remained solid with a Tier 1 Basel III Capital Ratio of 19.1% and a Regulatory Capital Adequacy Ratio of 15.6%. Equity levels were down (-2% QoQ; -4% YoY) mainly due to the completion of the Bank’s open market stock repurchase program for a total of $60 million, under which 3.6 million shares were repurchased at a volume-weighted average price per share of $16.86, since its launching in mid-May of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416560</wp:posOffset>
            </wp:positionV>
            <wp:extent cx="7134225"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193"/>
          </w:cols>
          <w:pgMar w:left="327" w:top="1440" w:right="37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845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845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4" w:lineRule="exact"/>
        <w:rPr>
          <w:sz w:val="20"/>
          <w:szCs w:val="20"/>
          <w:color w:val="auto"/>
        </w:rPr>
      </w:pPr>
    </w:p>
    <w:p>
      <w:pPr>
        <w:jc w:val="both"/>
        <w:ind w:right="80"/>
        <w:spacing w:after="0" w:line="255" w:lineRule="auto"/>
        <w:rPr>
          <w:sz w:val="20"/>
          <w:szCs w:val="20"/>
          <w:color w:val="auto"/>
        </w:rPr>
      </w:pPr>
      <w:r>
        <w:rPr>
          <w:rFonts w:ascii="Arial" w:cs="Arial" w:eastAsia="Arial" w:hAnsi="Arial"/>
          <w:sz w:val="18"/>
          <w:szCs w:val="18"/>
          <w:color w:val="auto"/>
        </w:rPr>
        <w:t>Mr. Jorge Salas, Bladex’s Chief Executive Officer said: “Fourth quarter results have been the best since the onset of the pandemic. Top-line revenues were positively impacted by higher lending spreads and volumes, coupled with a solid performance in fee income, having consolidated the reactivation of our syndication business with two new structured transactions closed during the quarter and a record-year performance in our letters of credit business. Meanwhile, operating expenses and credit quality remained under control.”</w:t>
      </w:r>
    </w:p>
    <w:p>
      <w:pPr>
        <w:spacing w:after="0" w:line="188" w:lineRule="exact"/>
        <w:rPr>
          <w:sz w:val="20"/>
          <w:szCs w:val="20"/>
          <w:color w:val="auto"/>
        </w:rPr>
      </w:pPr>
    </w:p>
    <w:p>
      <w:pPr>
        <w:jc w:val="both"/>
        <w:ind w:right="80"/>
        <w:spacing w:after="0" w:line="269" w:lineRule="auto"/>
        <w:rPr>
          <w:sz w:val="20"/>
          <w:szCs w:val="20"/>
          <w:color w:val="auto"/>
        </w:rPr>
      </w:pPr>
      <w:r>
        <w:rPr>
          <w:rFonts w:ascii="Arial" w:cs="Arial" w:eastAsia="Arial" w:hAnsi="Arial"/>
          <w:sz w:val="17"/>
          <w:szCs w:val="17"/>
          <w:color w:val="auto"/>
        </w:rPr>
        <w:t>Mr. Salas added: “Our Credit Portfolio continued its growth trend for the sixth consecutive quarter, as disbursements reached their highest level in more than three years, and the investment portfolio increased by another 10%. Overall, interest-earning assets surpassed pre-pandemic levels by 9%, financed by a stable and well diversified funding base. During the fourth quarter, Bladex successfully completed a new debt placement in the Mexican market for MXN 3,000 million (approximately USD 150 million), which was considerably oversubscribed and followed by a reopening for a similar amount in late January of 2022. The Bank remains very active in the global debt/syndicated and capital markets; with these resources Bladex is well prepared to satisfy the needs of its client base while maintaining a cost-efficient and resilient funding base.”</w:t>
      </w:r>
    </w:p>
    <w:p>
      <w:pPr>
        <w:spacing w:after="0" w:line="180" w:lineRule="exact"/>
        <w:rPr>
          <w:sz w:val="20"/>
          <w:szCs w:val="20"/>
          <w:color w:val="auto"/>
        </w:rPr>
      </w:pPr>
    </w:p>
    <w:p>
      <w:pPr>
        <w:jc w:val="both"/>
        <w:ind w:right="80"/>
        <w:spacing w:after="0" w:line="271" w:lineRule="auto"/>
        <w:rPr>
          <w:sz w:val="20"/>
          <w:szCs w:val="20"/>
          <w:color w:val="auto"/>
        </w:rPr>
      </w:pPr>
      <w:r>
        <w:rPr>
          <w:rFonts w:ascii="Arial" w:cs="Arial" w:eastAsia="Arial" w:hAnsi="Arial"/>
          <w:sz w:val="17"/>
          <w:szCs w:val="17"/>
          <w:color w:val="auto"/>
        </w:rPr>
        <w:t>Mr. Salas concluded: “During the quarter, Bladex completed its open market stock repurchase program for a total of $60 million, through which a total of 3.6 million Class E common shares were repurchased at prevailing market prices. In addition, the Board recently declared a quarterly dividend of $0.25 per share, representing 46% of fourth quarter earnings. Solid capitalization continues to be a fundamental component for the Bank’s future growth opportunities in a post-pandemic environment. Looking ahead, we cautiously believe Bladex is positioned to tackle the current environment, particularly as it relates to raising interest rates both in the U.S. and in the Latin American Region.”</w:t>
      </w:r>
    </w:p>
    <w:p>
      <w:pPr>
        <w:spacing w:after="0" w:line="17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0" w:lineRule="exact"/>
        <w:rPr>
          <w:sz w:val="20"/>
          <w:szCs w:val="20"/>
          <w:color w:val="auto"/>
        </w:rPr>
      </w:pPr>
    </w:p>
    <w:p>
      <w:pPr>
        <w:ind w:left="640" w:hanging="313"/>
        <w:spacing w:after="0" w:line="274" w:lineRule="auto"/>
        <w:tabs>
          <w:tab w:leader="none" w:pos="640" w:val="left"/>
        </w:tabs>
        <w:numPr>
          <w:ilvl w:val="0"/>
          <w:numId w:val="3"/>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The Board approved a quarterly common dividend of $0.25 per share corresponding to the fourth quarter 2021. The</w:t>
      </w:r>
      <w:r>
        <w:rPr>
          <w:rFonts w:ascii="Arial" w:cs="Arial" w:eastAsia="Arial" w:hAnsi="Arial"/>
          <w:sz w:val="18"/>
          <w:szCs w:val="18"/>
          <w:b w:val="1"/>
          <w:bCs w:val="1"/>
          <w:color w:val="auto"/>
        </w:rPr>
        <w:t xml:space="preserve"> </w:t>
      </w:r>
      <w:r>
        <w:rPr>
          <w:rFonts w:ascii="Arial" w:cs="Arial" w:eastAsia="Arial" w:hAnsi="Arial"/>
          <w:sz w:val="18"/>
          <w:szCs w:val="18"/>
          <w:color w:val="auto"/>
        </w:rPr>
        <w:t>cash dividend will be paid on March 22, 2022, to shareholders registered as of March 7, 2022.</w:t>
      </w:r>
    </w:p>
    <w:p>
      <w:pPr>
        <w:spacing w:after="0" w:line="167" w:lineRule="exact"/>
        <w:rPr>
          <w:rFonts w:ascii="Arial" w:cs="Arial" w:eastAsia="Arial" w:hAnsi="Arial"/>
          <w:sz w:val="18"/>
          <w:szCs w:val="18"/>
          <w:color w:val="auto"/>
        </w:rPr>
      </w:pPr>
    </w:p>
    <w:p>
      <w:pPr>
        <w:jc w:val="both"/>
        <w:ind w:left="640" w:hanging="313"/>
        <w:spacing w:after="0" w:line="261" w:lineRule="auto"/>
        <w:tabs>
          <w:tab w:leader="none" w:pos="640" w:val="left"/>
        </w:tabs>
        <w:numPr>
          <w:ilvl w:val="0"/>
          <w:numId w:val="3"/>
        </w:numPr>
        <w:rPr>
          <w:rFonts w:ascii="Arial" w:cs="Arial" w:eastAsia="Arial" w:hAnsi="Arial"/>
          <w:sz w:val="18"/>
          <w:szCs w:val="18"/>
          <w:color w:val="auto"/>
        </w:rPr>
      </w:pPr>
      <w:r>
        <w:rPr>
          <w:rFonts w:ascii="Arial" w:cs="Arial" w:eastAsia="Arial" w:hAnsi="Arial"/>
          <w:sz w:val="18"/>
          <w:szCs w:val="18"/>
          <w:b w:val="1"/>
          <w:bCs w:val="1"/>
          <w:color w:val="auto"/>
        </w:rPr>
        <w:t xml:space="preserve">Stock Repurchase Program: </w:t>
      </w:r>
      <w:r>
        <w:rPr>
          <w:rFonts w:ascii="Arial" w:cs="Arial" w:eastAsia="Arial" w:hAnsi="Arial"/>
          <w:sz w:val="18"/>
          <w:szCs w:val="18"/>
          <w:color w:val="auto"/>
        </w:rPr>
        <w:t>On January 4, 2022, the Bank announced the completion of its $60 million common stock repurchase program</w:t>
      </w:r>
      <w:r>
        <w:rPr>
          <w:rFonts w:ascii="Arial" w:cs="Arial" w:eastAsia="Arial" w:hAnsi="Arial"/>
          <w:sz w:val="18"/>
          <w:szCs w:val="18"/>
          <w:b w:val="1"/>
          <w:bCs w:val="1"/>
          <w:color w:val="auto"/>
        </w:rPr>
        <w:t xml:space="preserve"> </w:t>
      </w:r>
      <w:r>
        <w:rPr>
          <w:rFonts w:ascii="Arial" w:cs="Arial" w:eastAsia="Arial" w:hAnsi="Arial"/>
          <w:sz w:val="18"/>
          <w:szCs w:val="18"/>
          <w:color w:val="auto"/>
        </w:rPr>
        <w:t>authorized by the Bank’s Board of Directors and announced on May 5, 2021 (“the Program”), under which 3.6 million shares were repurchased with an approximate volume-weighted average price per share of $16.86.</w:t>
      </w:r>
    </w:p>
    <w:p>
      <w:pPr>
        <w:spacing w:after="0" w:line="17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4" w:lineRule="exact"/>
        <w:rPr>
          <w:sz w:val="20"/>
          <w:szCs w:val="20"/>
          <w:color w:val="auto"/>
        </w:rPr>
      </w:pPr>
    </w:p>
    <w:p>
      <w:pPr>
        <w:ind w:left="640" w:hanging="313"/>
        <w:spacing w:after="0"/>
        <w:tabs>
          <w:tab w:leader="none" w:pos="640" w:val="left"/>
        </w:tabs>
        <w:numPr>
          <w:ilvl w:val="0"/>
          <w:numId w:val="4"/>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19" w:lineRule="exact"/>
        <w:rPr>
          <w:rFonts w:ascii="Arial" w:cs="Arial" w:eastAsia="Arial" w:hAnsi="Arial"/>
          <w:sz w:val="18"/>
          <w:szCs w:val="18"/>
          <w:color w:val="auto"/>
        </w:rPr>
      </w:pPr>
    </w:p>
    <w:p>
      <w:pPr>
        <w:ind w:left="640" w:hanging="313"/>
        <w:spacing w:after="0"/>
        <w:tabs>
          <w:tab w:leader="none" w:pos="640" w:val="left"/>
        </w:tabs>
        <w:numPr>
          <w:ilvl w:val="0"/>
          <w:numId w:val="4"/>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1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4" w:lineRule="exact"/>
        <w:rPr>
          <w:sz w:val="20"/>
          <w:szCs w:val="20"/>
          <w:color w:val="auto"/>
        </w:rPr>
      </w:pPr>
    </w:p>
    <w:p>
      <w:pPr>
        <w:ind w:left="640" w:hanging="313"/>
        <w:spacing w:after="0"/>
        <w:tabs>
          <w:tab w:leader="none" w:pos="640" w:val="left"/>
        </w:tabs>
        <w:numPr>
          <w:ilvl w:val="0"/>
          <w:numId w:val="5"/>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19" w:lineRule="exact"/>
        <w:rPr>
          <w:rFonts w:ascii="Arial" w:cs="Arial" w:eastAsia="Arial" w:hAnsi="Arial"/>
          <w:sz w:val="18"/>
          <w:szCs w:val="18"/>
          <w:color w:val="auto"/>
        </w:rPr>
      </w:pPr>
    </w:p>
    <w:p>
      <w:pPr>
        <w:ind w:left="640" w:hanging="313"/>
        <w:spacing w:after="0"/>
        <w:tabs>
          <w:tab w:leader="none" w:pos="640" w:val="left"/>
        </w:tabs>
        <w:numPr>
          <w:ilvl w:val="0"/>
          <w:numId w:val="5"/>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19" w:lineRule="exact"/>
        <w:rPr>
          <w:rFonts w:ascii="Arial" w:cs="Arial" w:eastAsia="Arial" w:hAnsi="Arial"/>
          <w:sz w:val="18"/>
          <w:szCs w:val="18"/>
          <w:color w:val="auto"/>
        </w:rPr>
      </w:pPr>
    </w:p>
    <w:p>
      <w:pPr>
        <w:ind w:left="640" w:hanging="313"/>
        <w:spacing w:after="0"/>
        <w:tabs>
          <w:tab w:leader="none" w:pos="640" w:val="left"/>
        </w:tabs>
        <w:numPr>
          <w:ilvl w:val="0"/>
          <w:numId w:val="5"/>
        </w:numPr>
        <w:rPr>
          <w:rFonts w:ascii="Arial" w:cs="Arial" w:eastAsia="Arial" w:hAnsi="Arial"/>
          <w:sz w:val="17"/>
          <w:szCs w:val="17"/>
          <w:color w:val="auto"/>
        </w:rPr>
      </w:pPr>
      <w:r>
        <w:rPr>
          <w:rFonts w:ascii="Arial" w:cs="Arial" w:eastAsia="Arial" w:hAnsi="Arial"/>
          <w:sz w:val="17"/>
          <w:szCs w:val="17"/>
          <w:color w:val="auto"/>
        </w:rPr>
        <w:t>NIM refers to net interest margin which constitutes to Net Interest Income (“NII”) divided by the average balance of interest-earning assets.</w:t>
      </w:r>
    </w:p>
    <w:p>
      <w:pPr>
        <w:spacing w:after="0" w:line="200" w:lineRule="exact"/>
        <w:rPr>
          <w:sz w:val="20"/>
          <w:szCs w:val="20"/>
          <w:color w:val="auto"/>
        </w:rPr>
      </w:pPr>
    </w:p>
    <w:p>
      <w:pPr>
        <w:spacing w:after="0" w:line="24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845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845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640" w:right="80" w:hanging="313"/>
        <w:spacing w:after="0" w:line="270"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4" w:lineRule="exact"/>
        <w:rPr>
          <w:rFonts w:ascii="Arial" w:cs="Arial" w:eastAsia="Arial" w:hAnsi="Arial"/>
          <w:sz w:val="18"/>
          <w:szCs w:val="18"/>
          <w:color w:val="auto"/>
        </w:rPr>
      </w:pPr>
    </w:p>
    <w:p>
      <w:pPr>
        <w:ind w:left="640" w:hanging="313"/>
        <w:spacing w:after="0"/>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19" w:lineRule="exact"/>
        <w:rPr>
          <w:rFonts w:ascii="Arial" w:cs="Arial" w:eastAsia="Arial" w:hAnsi="Arial"/>
          <w:sz w:val="18"/>
          <w:szCs w:val="18"/>
          <w:color w:val="auto"/>
        </w:rPr>
      </w:pPr>
    </w:p>
    <w:p>
      <w:pPr>
        <w:jc w:val="both"/>
        <w:ind w:left="640" w:right="80" w:hanging="313"/>
        <w:spacing w:after="0" w:line="306" w:lineRule="auto"/>
        <w:tabs>
          <w:tab w:leader="none" w:pos="640" w:val="left"/>
        </w:tabs>
        <w:numPr>
          <w:ilvl w:val="0"/>
          <w:numId w:val="6"/>
        </w:numPr>
        <w:rPr>
          <w:rFonts w:ascii="Arial" w:cs="Arial" w:eastAsia="Arial" w:hAnsi="Arial"/>
          <w:sz w:val="16"/>
          <w:szCs w:val="16"/>
          <w:color w:val="auto"/>
        </w:rPr>
      </w:pPr>
      <w:r>
        <w:rPr>
          <w:rFonts w:ascii="Arial" w:cs="Arial" w:eastAsia="Arial" w:hAnsi="Arial"/>
          <w:sz w:val="16"/>
          <w:szCs w:val="16"/>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50" w:lineRule="exact"/>
        <w:rPr>
          <w:rFonts w:ascii="Arial" w:cs="Arial" w:eastAsia="Arial" w:hAnsi="Arial"/>
          <w:sz w:val="16"/>
          <w:szCs w:val="16"/>
          <w:color w:val="auto"/>
        </w:rPr>
      </w:pPr>
    </w:p>
    <w:p>
      <w:pPr>
        <w:jc w:val="both"/>
        <w:ind w:left="640" w:right="80" w:hanging="313"/>
        <w:spacing w:after="0" w:line="258"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6" w:lineRule="exact"/>
        <w:rPr>
          <w:rFonts w:ascii="Arial" w:cs="Arial" w:eastAsia="Arial" w:hAnsi="Arial"/>
          <w:sz w:val="18"/>
          <w:szCs w:val="18"/>
          <w:color w:val="auto"/>
        </w:rPr>
      </w:pPr>
    </w:p>
    <w:p>
      <w:pPr>
        <w:ind w:left="640" w:hanging="313"/>
        <w:spacing w:after="0"/>
        <w:tabs>
          <w:tab w:leader="none" w:pos="640" w:val="left"/>
        </w:tabs>
        <w:numPr>
          <w:ilvl w:val="0"/>
          <w:numId w:val="6"/>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2" w:lineRule="exact"/>
        <w:rPr>
          <w:rFonts w:ascii="Arial" w:cs="Arial" w:eastAsia="Arial" w:hAnsi="Arial"/>
          <w:sz w:val="16"/>
          <w:szCs w:val="16"/>
          <w:color w:val="auto"/>
        </w:rPr>
      </w:pPr>
    </w:p>
    <w:p>
      <w:pPr>
        <w:jc w:val="both"/>
        <w:ind w:left="640" w:right="80" w:hanging="313"/>
        <w:spacing w:after="0" w:line="258"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Tier 1 Capital ratio is calculated according to Basel III capital adequacy guidelines, and as a percentage of risk-weighted assets. Risk-weighted assets are estimated based on Basel III capital adequacy guidelines, utilizing internal-ratings based approach or “IRB” for credit risk and standardized approach for operational risk.</w:t>
      </w:r>
    </w:p>
    <w:p>
      <w:pPr>
        <w:spacing w:after="0" w:line="186" w:lineRule="exact"/>
        <w:rPr>
          <w:rFonts w:ascii="Arial" w:cs="Arial" w:eastAsia="Arial" w:hAnsi="Arial"/>
          <w:sz w:val="18"/>
          <w:szCs w:val="18"/>
          <w:color w:val="auto"/>
        </w:rPr>
      </w:pPr>
    </w:p>
    <w:p>
      <w:pPr>
        <w:jc w:val="both"/>
        <w:ind w:left="640" w:right="80" w:hanging="313"/>
        <w:spacing w:after="0" w:line="258"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As defined by the Superintendency of Banks of Panama through Rules No. 01-2015 and 03-2016, based on Basel III standardized approach. The capital adequacy ratio is defined as the ratio of capital funds to risk-weighted assets, rated according to the asset’s categories for credit risk. In addition, risk-weighted assets consider calculations for market risk and operating risk.</w:t>
      </w:r>
    </w:p>
    <w:p>
      <w:pPr>
        <w:spacing w:after="0" w:line="186" w:lineRule="exact"/>
        <w:rPr>
          <w:rFonts w:ascii="Arial" w:cs="Arial" w:eastAsia="Arial" w:hAnsi="Arial"/>
          <w:sz w:val="18"/>
          <w:szCs w:val="18"/>
          <w:color w:val="auto"/>
        </w:rPr>
      </w:pPr>
    </w:p>
    <w:p>
      <w:pPr>
        <w:jc w:val="both"/>
        <w:ind w:left="640" w:right="80" w:hanging="313"/>
        <w:spacing w:after="0" w:line="258"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186" w:lineRule="exact"/>
        <w:rPr>
          <w:rFonts w:ascii="Arial" w:cs="Arial" w:eastAsia="Arial" w:hAnsi="Arial"/>
          <w:sz w:val="18"/>
          <w:szCs w:val="18"/>
          <w:color w:val="auto"/>
        </w:rPr>
      </w:pPr>
    </w:p>
    <w:p>
      <w:pPr>
        <w:ind w:left="640" w:right="80" w:hanging="313"/>
        <w:spacing w:after="0" w:line="270"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Loan Portfolio refers to gross loans at amortized cost, excluding interest receivable, the allowance for loan losses, and unearned interest and deferred fees. Credit-impaired loans are also commonly referred to as Non-Performing Loans or NPLs.</w:t>
      </w:r>
    </w:p>
    <w:p>
      <w:pPr>
        <w:spacing w:after="0" w:line="174" w:lineRule="exact"/>
        <w:rPr>
          <w:rFonts w:ascii="Arial" w:cs="Arial" w:eastAsia="Arial" w:hAnsi="Arial"/>
          <w:sz w:val="18"/>
          <w:szCs w:val="18"/>
          <w:color w:val="auto"/>
        </w:rPr>
      </w:pPr>
    </w:p>
    <w:p>
      <w:pPr>
        <w:ind w:left="640" w:right="80" w:hanging="313"/>
        <w:spacing w:after="0" w:line="270" w:lineRule="auto"/>
        <w:tabs>
          <w:tab w:leader="none" w:pos="6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Total allowance for losses refers to allowance for loan losses plus allowance for loan commitments and financial guarantee contract losses and allowance for investment securities losses.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151130</wp:posOffset>
            </wp:positionV>
            <wp:extent cx="7134225" cy="22536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4225" cy="2253615"/>
                    </a:xfrm>
                    <a:prstGeom prst="rect">
                      <a:avLst/>
                    </a:prstGeom>
                    <a:noFill/>
                  </pic:spPr>
                </pic:pic>
              </a:graphicData>
            </a:graphic>
          </wp:anchor>
        </w:drawing>
      </w:r>
    </w:p>
    <w:p>
      <w:pPr>
        <w:spacing w:after="0" w:line="271" w:lineRule="exact"/>
        <w:rPr>
          <w:sz w:val="20"/>
          <w:szCs w:val="20"/>
          <w:color w:val="auto"/>
        </w:rPr>
      </w:pPr>
    </w:p>
    <w:p>
      <w:pPr>
        <w:jc w:val="both"/>
        <w:ind w:left="100" w:right="100"/>
        <w:spacing w:after="0" w:line="282"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200" w:lineRule="exact"/>
        <w:rPr>
          <w:sz w:val="20"/>
          <w:szCs w:val="20"/>
          <w:color w:val="auto"/>
        </w:rPr>
      </w:pPr>
    </w:p>
    <w:p>
      <w:pPr>
        <w:spacing w:after="0" w:line="250"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845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845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4" w:lineRule="exact"/>
        <w:rPr>
          <w:sz w:val="20"/>
          <w:szCs w:val="20"/>
          <w:color w:val="auto"/>
        </w:rPr>
      </w:pPr>
    </w:p>
    <w:p>
      <w:pPr>
        <w:jc w:val="both"/>
        <w:ind w:right="80"/>
        <w:spacing w:after="0" w:line="255"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8" w:lineRule="exact"/>
        <w:rPr>
          <w:sz w:val="20"/>
          <w:szCs w:val="20"/>
          <w:color w:val="auto"/>
        </w:rPr>
      </w:pPr>
    </w:p>
    <w:p>
      <w:pPr>
        <w:jc w:val="both"/>
        <w:ind w:right="80"/>
        <w:spacing w:after="0" w:line="258"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4" w:lineRule="exact"/>
        <w:rPr>
          <w:sz w:val="20"/>
          <w:szCs w:val="20"/>
          <w:color w:val="auto"/>
        </w:rPr>
      </w:pPr>
    </w:p>
    <w:p>
      <w:pPr>
        <w:jc w:val="both"/>
        <w:ind w:right="80"/>
        <w:spacing w:after="0" w:line="274" w:lineRule="auto"/>
        <w:rPr>
          <w:sz w:val="20"/>
          <w:szCs w:val="20"/>
          <w:color w:val="auto"/>
        </w:rPr>
      </w:pPr>
      <w:r>
        <w:rPr>
          <w:rFonts w:ascii="Arial" w:cs="Arial" w:eastAsia="Arial" w:hAnsi="Arial"/>
          <w:sz w:val="17"/>
          <w:szCs w:val="17"/>
          <w:color w:val="auto"/>
        </w:rPr>
        <w:t>There will be a conference call to discuss the Bank’s quarterly results on Tuesday, February 22, 2022 at 11:00 a.m. New York City time (Eastern Time). For those interested in participating, please dial (800) 420-1271 in the United States or, if outside the United States, (785) 424-1205. Participants should use conference passcode 52607, and dial in five minutes before the call is set to begin. There will also be a live audio webcast of the conference at http://www.bladex.com. The webcast presentation will be available for viewing and downloads on http://www.bladex.com.</w:t>
      </w:r>
    </w:p>
    <w:p>
      <w:pPr>
        <w:spacing w:after="0" w:line="175"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2" w:lineRule="exact"/>
        <w:rPr>
          <w:sz w:val="20"/>
          <w:szCs w:val="20"/>
          <w:color w:val="auto"/>
        </w:rPr>
      </w:pPr>
    </w:p>
    <w:p>
      <w:pPr>
        <w:ind w:right="5880" w:firstLine="7"/>
        <w:spacing w:after="0" w:line="490" w:lineRule="auto"/>
        <w:tabs>
          <w:tab w:leader="none" w:pos="430" w:val="left"/>
        </w:tabs>
        <w:numPr>
          <w:ilvl w:val="0"/>
          <w:numId w:val="7"/>
        </w:numPr>
        <w:rPr>
          <w:rFonts w:ascii="Arial" w:cs="Arial" w:eastAsia="Arial" w:hAnsi="Arial"/>
          <w:sz w:val="18"/>
          <w:szCs w:val="18"/>
          <w:color w:val="auto"/>
        </w:rPr>
      </w:pPr>
      <w:r>
        <w:rPr>
          <w:rFonts w:ascii="Arial" w:cs="Arial" w:eastAsia="Arial" w:hAnsi="Arial"/>
          <w:sz w:val="18"/>
          <w:szCs w:val="18"/>
          <w:color w:val="auto"/>
        </w:rPr>
        <w:t xml:space="preserve">945-0804 and follow the instructions. The replay passcode is: 52607. 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 Mrs. Ana Graciela de Méndez</w:t>
      </w:r>
    </w:p>
    <w:p>
      <w:pPr>
        <w:ind w:right="9580"/>
        <w:spacing w:after="0" w:line="556" w:lineRule="auto"/>
        <w:rPr>
          <w:rFonts w:ascii="Arial" w:cs="Arial" w:eastAsia="Arial" w:hAnsi="Arial"/>
          <w:sz w:val="18"/>
          <w:szCs w:val="18"/>
          <w:color w:val="auto"/>
        </w:rPr>
      </w:pPr>
      <w:r>
        <w:rPr>
          <w:rFonts w:ascii="Arial" w:cs="Arial" w:eastAsia="Arial" w:hAnsi="Arial"/>
          <w:sz w:val="16"/>
          <w:szCs w:val="16"/>
          <w:color w:val="auto"/>
        </w:rPr>
        <w:t>Chief Financial Officer Tel: +507 210-8563</w:t>
      </w:r>
    </w:p>
    <w:p>
      <w:pPr>
        <w:spacing w:after="0" w:line="1" w:lineRule="exact"/>
        <w:rPr>
          <w:rFonts w:ascii="Arial" w:cs="Arial" w:eastAsia="Arial" w:hAnsi="Arial"/>
          <w:sz w:val="18"/>
          <w:szCs w:val="18"/>
          <w:color w:val="auto"/>
        </w:rPr>
      </w:pPr>
    </w:p>
    <w:p>
      <w:pPr>
        <w:spacing w:after="0"/>
        <w:rPr>
          <w:rFonts w:ascii="Arial" w:cs="Arial" w:eastAsia="Arial" w:hAnsi="Arial"/>
          <w:sz w:val="18"/>
          <w:szCs w:val="18"/>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3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wp:posOffset>
            </wp:positionV>
            <wp:extent cx="7134225"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845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84580"/>
                    </a:xfrm>
                    <a:prstGeom prst="rect">
                      <a:avLst/>
                    </a:prstGeom>
                    <a:noFill/>
                  </pic:spPr>
                </pic:pic>
              </a:graphicData>
            </a:graphic>
          </wp:anchor>
        </w:drawing>
        <w:drawing>
          <wp:anchor simplePos="0" relativeHeight="251657728" behindDoc="1" locked="0" layoutInCell="0" allowOverlap="1">
            <wp:simplePos x="0" y="0"/>
            <wp:positionH relativeFrom="page">
              <wp:posOffset>2859405</wp:posOffset>
            </wp:positionH>
            <wp:positionV relativeFrom="page">
              <wp:posOffset>2071370</wp:posOffset>
            </wp:positionV>
            <wp:extent cx="1830070" cy="14490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clrChange>
                        <a:clrFrom>
                          <a:srgbClr val="FFFFFF"/>
                        </a:clrFrom>
                        <a:clrTo>
                          <a:srgbClr val="FFFFFF">
                            <a:alpha val="0"/>
                          </a:srgbClr>
                        </a:clrTo>
                      </a:clrChange>
                      <a:extLst>
                        <a:ext uri="{28A0092B-C50C-407E-A947-70E740481C1C}"/>
                      </a:extLst>
                    </a:blip>
                    <a:srcRect/>
                    <a:stretch>
                      <a:fillRect/>
                    </a:stretch>
                  </pic:blipFill>
                  <pic:spPr bwMode="auto">
                    <a:xfrm>
                      <a:off x="0" y="0"/>
                      <a:ext cx="1830070" cy="14490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10040"/>
        <w:spacing w:after="0"/>
        <w:rPr>
          <w:sz w:val="20"/>
          <w:szCs w:val="20"/>
          <w:color w:val="auto"/>
        </w:rPr>
      </w:pPr>
      <w:r>
        <w:rPr>
          <w:rFonts w:ascii="Arial" w:cs="Arial" w:eastAsia="Arial" w:hAnsi="Arial"/>
          <w:sz w:val="14"/>
          <w:szCs w:val="14"/>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-706120</wp:posOffset>
            </wp:positionH>
            <wp:positionV relativeFrom="paragraph">
              <wp:posOffset>42545</wp:posOffset>
            </wp:positionV>
            <wp:extent cx="7134225"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sectPr>
      <w:pgSz w:w="11900" w:h="16838" w:orient="portrait"/>
      <w:cols w:equalWidth="0" w:num="1">
        <w:col w:w="10120"/>
      </w:cols>
      <w:pgMar w:left="144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25558EC"/>
    <w:multiLevelType w:val="hybridMultilevel"/>
    <w:lvl w:ilvl="0">
      <w:lvlJc w:val="left"/>
      <w:lvlText w:val="·"/>
      <w:numFmt w:val="bullet"/>
      <w:start w:val="1"/>
    </w:lvl>
  </w:abstractNum>
  <w:abstractNum w:abstractNumId="1">
    <w:nsid w:val="238E1F29"/>
    <w:multiLevelType w:val="hybridMultilevel"/>
    <w:lvl w:ilvl="0">
      <w:lvlJc w:val="left"/>
      <w:lvlText w:val="·"/>
      <w:numFmt w:val="bullet"/>
      <w:start w:val="1"/>
    </w:lvl>
  </w:abstractNum>
  <w:abstractNum w:abstractNumId="2">
    <w:nsid w:val="46E87CCD"/>
    <w:multiLevelType w:val="hybridMultilevel"/>
    <w:lvl w:ilvl="0">
      <w:lvlJc w:val="left"/>
      <w:lvlText w:val="§"/>
      <w:numFmt w:val="bullet"/>
      <w:start w:val="1"/>
    </w:lvl>
  </w:abstractNum>
  <w:abstractNum w:abstractNumId="3">
    <w:nsid w:val="3D1B58BA"/>
    <w:multiLevelType w:val="hybridMultilevel"/>
    <w:lvl w:ilvl="0">
      <w:lvlJc w:val="left"/>
      <w:lvlText w:val="-"/>
      <w:numFmt w:val="bullet"/>
      <w:start w:val="1"/>
    </w:lvl>
  </w:abstractNum>
  <w:abstractNum w:abstractNumId="4">
    <w:nsid w:val="507ED7AB"/>
    <w:multiLevelType w:val="hybridMultilevel"/>
    <w:lvl w:ilvl="0">
      <w:lvlJc w:val="left"/>
      <w:lvlText w:val="%1)"/>
      <w:numFmt w:val="decimal"/>
      <w:start w:val="1"/>
    </w:lvl>
  </w:abstractNum>
  <w:abstractNum w:abstractNumId="5">
    <w:nsid w:val="2EB141F2"/>
    <w:multiLevelType w:val="hybridMultilevel"/>
    <w:lvl w:ilvl="0">
      <w:lvlJc w:val="left"/>
      <w:lvlText w:val="%1)"/>
      <w:numFmt w:val="decimal"/>
      <w:start w:val="4"/>
    </w:lvl>
  </w:abstractNum>
  <w:abstractNum w:abstractNumId="6">
    <w:nsid w:val="41B71EFB"/>
    <w:multiLevelType w:val="hybridMultilevel"/>
    <w:lvl w:ilvl="0">
      <w:lvlJc w:val="left"/>
      <w:lvlText w:val="(%1)"/>
      <w:numFmt w:val="decimal"/>
      <w:start w:val="800"/>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jpeg"/><Relationship Id="rId25" Type="http://schemas.openxmlformats.org/officeDocument/2006/relationships/image" Target="media/image18.pn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2022-02-23T05:13:55Z</dcterms:created>
  <dcterms:modified xsi:type="dcterms:W3CDTF">2022-02-23T05:13:55Z</dcterms:modified>
</cp:coreProperties>
</file>